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fba543b380ac8f610edb9db9ac55764adf235"/>
    <w:p>
      <w:pPr>
        <w:pStyle w:val="Heading3"/>
      </w:pPr>
      <w:r>
        <w:t xml:space="preserve">Прокуратурой при непосредственной помощи жителей столицы пресечены незаконные работы в заказнике «Долина реки Сетунь»</w:t>
      </w:r>
    </w:p>
    <w:p>
      <w:pPr>
        <w:pStyle w:val="FirstParagraph"/>
      </w:pPr>
      <w:r>
        <w:t xml:space="preserve">14.04.2025</w:t>
      </w:r>
    </w:p>
    <w:p>
      <w:pPr>
        <w:pStyle w:val="BodyText"/>
      </w:pPr>
      <w:r>
        <w:t xml:space="preserve">14.04.2025</w:t>
      </w:r>
      <w:r>
        <w:br/>
      </w:r>
      <w:r>
        <w:br/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upload_local/iblock/1a5/1a580af6a74c44d83159884f13a8c440/Prirodnaya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Обеспокоенность жителей Можайского района вызвали незаконные работы в заказнике «Долина реки Сетуни».</w:t>
      </w:r>
    </w:p>
    <w:p>
      <w:pPr>
        <w:pStyle w:val="BodyText"/>
      </w:pPr>
      <w:r>
        <w:t xml:space="preserve">При проведении работ в водоохранной зоне реки Сетуни подрядная организация допустила нарушения природоохранного законодательства, в том числе осуществляла несанкционированные земляные работы с повреждением зелёных насаждений.</w:t>
      </w:r>
    </w:p>
    <w:p>
      <w:pPr>
        <w:pStyle w:val="BodyText"/>
      </w:pPr>
      <w:r>
        <w:t xml:space="preserve">Межрайонной природоохранной прокуратурой г. Москвы принят комплекс мер прокурорского реагирования, в том числе возбуждены дела</w:t>
      </w:r>
      <w:r>
        <w:br/>
      </w:r>
      <w:r>
        <w:t xml:space="preserve">об административных правонарушениях.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http://ubutovo.mos.ru/events/detail/12913022.html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130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130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2025-08-04T05:01:04Z</dcterms:created>
  <dcterms:modified xsi:type="dcterms:W3CDTF">2025-08-04T05:01:04Z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