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e28f3c009a78ab44135770f8f0a841e9093dba"/>
    <w:p>
      <w:pPr>
        <w:pStyle w:val="Heading3"/>
      </w:pPr>
      <w:r>
        <w:t xml:space="preserve">БЫТЬ ПРИСЯЖНЫМ ЗАСЕДАТЕЛЕМ – ПОЧЕТНЫЙ ДОЛГ ГРАЖДАНИНА РОССИИ!</w:t>
      </w:r>
    </w:p>
    <w:p>
      <w:pPr>
        <w:pStyle w:val="FirstParagraph"/>
      </w:pPr>
      <w:r>
        <w:t xml:space="preserve">09.01.2025</w:t>
      </w:r>
    </w:p>
    <w:p>
      <w:pPr>
        <w:pStyle w:val="BodyText"/>
      </w:pPr>
      <w:r>
        <w:drawing>
          <wp:inline>
            <wp:extent cx="5334000" cy="754198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Информация%20прокуdfsратуры%20города%20Москвы%20по%20присяжным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1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http://ubutovo.mos.ru/events/detail/12751644.html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516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516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2025-02-21T03:09:09Z</dcterms:created>
  <dcterms:modified xsi:type="dcterms:W3CDTF">2025-02-21T03:09:09Z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