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bb5be03327d60e5ff38e7851dae3fe8492ffde"/>
    <w:p>
      <w:pPr>
        <w:pStyle w:val="Heading3"/>
      </w:pPr>
      <w:r>
        <w:t xml:space="preserve">Памятка для граждан и организаций по вопросам рассмотрения обращений</w:t>
      </w:r>
    </w:p>
    <w:p>
      <w:pPr>
        <w:pStyle w:val="FirstParagraph"/>
      </w:pPr>
      <w:r>
        <w:t xml:space="preserve">03.12.2024</w:t>
      </w:r>
    </w:p>
    <w:p>
      <w:pPr>
        <w:pStyle w:val="BodyText"/>
      </w:pPr>
      <w:r>
        <w:drawing>
          <wp:inline>
            <wp:extent cx="5334000" cy="377242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Памятка%20по%20обращениям%20МПП%202024%20(исправленный%20вариант)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242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Памятка%20по%20обращениям%20МПП%202024%20(исправленный%20вариант)_page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http://ubutovo.mos.ru/events/detail/12698997.html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698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698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2025-03-15T01:34:27Z</dcterms:created>
  <dcterms:modified xsi:type="dcterms:W3CDTF">2025-03-15T01:34:27Z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