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75658801356599b1024a99125067d8a76acf7f3"/>
    <w:p>
      <w:pPr>
        <w:pStyle w:val="Heading3"/>
      </w:pPr>
      <w:r>
        <w:t xml:space="preserve">ПАМЯТКА ПО СОБЛЮДЕНИЮ ЗАКОНОДАТЕЛЬСТВА РОССИЙСКОЙ ФЕДЕРАЦИИ, СВЯЗАННОГО С ОБЕСПЕЧЕНИЕМ БЕЗОПАСНОСТИ ГИДРОТЕХНИЧЕСКИХ СООРУЖЕНИЙ</w:t>
      </w:r>
    </w:p>
    <w:p>
      <w:pPr>
        <w:pStyle w:val="FirstParagraph"/>
      </w:pPr>
      <w:r>
        <w:t xml:space="preserve">03.12.2024</w:t>
      </w:r>
    </w:p>
    <w:p>
      <w:pPr>
        <w:pStyle w:val="BodyText"/>
      </w:pPr>
      <w:r>
        <w:drawing>
          <wp:inline>
            <wp:extent cx="5334000" cy="377242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Памятка%20по%20ГТС%20МПП%202024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242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Памятка%20по%20ГТС%20МПП%202024_page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http://ubutovo.mos.ru/events/detail/12698995.html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698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698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2025-02-27T09:47:35Z</dcterms:created>
  <dcterms:modified xsi:type="dcterms:W3CDTF">2025-02-27T09:47:35Z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