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46" w:name="прокуратура-юзао-информирует"/>
    <w:p>
      <w:pPr>
        <w:pStyle w:val="Heading3"/>
      </w:pPr>
      <w:r>
        <w:t xml:space="preserve">Прокуратура ЮЗАО информирует</w:t>
      </w:r>
    </w:p>
    <w:p>
      <w:pPr>
        <w:pStyle w:val="FirstParagraph"/>
      </w:pPr>
      <w:r>
        <w:t xml:space="preserve">18.09.2024</w:t>
      </w:r>
    </w:p>
    <w:bookmarkStart w:id="21" w:name="dpage_0_h"/>
    <w:bookmarkStart w:id="20" w:name="pagecontainer_0"/>
    <w:p>
      <w:pPr>
        <w:pStyle w:val="BodyText"/>
      </w:pPr>
      <w:r>
        <w:rPr>
          <w:bCs/>
          <w:b/>
        </w:rPr>
        <w:t xml:space="preserve">1. О реализации образовательных программ с применением дистанционных образовательных технологий.</w:t>
      </w:r>
    </w:p>
    <w:p>
      <w:pPr>
        <w:pStyle w:val="BodyText"/>
      </w:pPr>
      <w:r>
        <w:br/>
      </w:r>
    </w:p>
    <w:p>
      <w:pPr>
        <w:pStyle w:val="BodyText"/>
      </w:pPr>
      <w:r>
        <w:t xml:space="preserve">В соответствии с частью 2 статьи 16 Федерального закона «Об образовании в Российской Федерации» организации, осуществляющие образовательную деятельность, вправе применять электронное обучение, дистанционные образовательные технологии при реализации образовательных программ.</w:t>
      </w:r>
    </w:p>
    <w:p>
      <w:pPr>
        <w:pStyle w:val="BodyText"/>
      </w:pPr>
      <w:r>
        <w:t xml:space="preserve">Постановлением Правительства Российской Федерации от 11.10.2023 № 1678 утверждены Правила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p>
    <w:p>
      <w:pPr>
        <w:pStyle w:val="BodyText"/>
      </w:pPr>
      <w:r>
        <w:t xml:space="preserve">Документ вступил в силу 1 сентября 2024 года.</w:t>
      </w:r>
    </w:p>
    <w:p>
      <w:pPr>
        <w:pStyle w:val="BodyText"/>
      </w:pPr>
      <w:r>
        <w:t xml:space="preserve">Под электронным обучением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 технических средств, а также информационно-телекоммуникационных сетей, обеспечивающих передачу по линиям связи указанной информации, взаимодействие обучающихся и педагогических работников.</w:t>
      </w:r>
    </w:p>
    <w:p>
      <w:pPr>
        <w:pStyle w:val="BodyText"/>
      </w:pPr>
      <w:r>
        <w:t xml:space="preserve">Под дистанционными образовательными технологиями понимаются образовательные технологии, реализуемые в основном с применением информационно-телекоммуникационных сетей при опосредованном (на расстоянии) взаимодействии обучающихся и педагогических работников.</w:t>
      </w:r>
    </w:p>
    <w:p>
      <w:pPr>
        <w:pStyle w:val="BodyText"/>
      </w:pPr>
      <w:r>
        <w:t xml:space="preserve">При реализации образовательных программ или их частей с применением таких технологий организация, осуществляющая образовательную деятельность, создает условия для функционирования электронной информационно-образовательной среды, обеспечивающей освоение обучающимися образовательных программ или их частей в полном объеме независимо от места нахождения обучающихся.</w:t>
      </w:r>
    </w:p>
    <w:p>
      <w:pPr>
        <w:pStyle w:val="BodyText"/>
      </w:pPr>
      <w:r>
        <w:t xml:space="preserve">Освоение обучающимся образовательных программ или их частей в виде онлайн-курсов подтверждается документом об образовании и (или) о квалификации либо документом об обучении, выданным организацией, реализующей образовательные программы или их части в виде онлайн-курсов.</w:t>
      </w:r>
    </w:p>
    <w:p>
      <w:pPr>
        <w:pStyle w:val="BodyText"/>
      </w:pPr>
      <w:r>
        <w:t xml:space="preserve">Образовательные организации при принятии решения о реализации образовательных программ с применением электронного обучения, дистанционных образовательных технологий в следующем учебном году (за исключением дополнительных профессиональных программ и основных программ профессионального обучения) доводят до сведения участников образовательных отношений эту информацию не позднее 1 мая текущего учебного года путем ее размещения в открытом доступе на сайте образовательной организации.</w:t>
      </w:r>
    </w:p>
    <w:p>
      <w:pPr>
        <w:pStyle w:val="BodyText"/>
      </w:pPr>
      <w:r>
        <w:t xml:space="preserve">При наличии заявления обучающегося, достигшего возраста 18 лет, родителя (законного представителя) обучающегося об отказе в применении электронного обучения, дистанционных образовательных технологий при реализации образовательных программ по программам начального общего, основного общего, среднего общего образования, за исключением случаев, когда реализация таких образовательных программ предусмотрена с применением электронного обучения, дистанционных образовательных технологий, образовательная организация обязана осуществлять обучение по таким образовательным программам такого обучающего без применения электронного обучения, дистанционных образовательных технологий.</w:t>
      </w:r>
    </w:p>
    <w:p>
      <w:pPr>
        <w:pStyle w:val="BodyText"/>
      </w:pPr>
      <w:r>
        <w:t xml:space="preserve">Порядок обучения такого обучающегося определяется локальными нормативными актами образовательной организации.</w:t>
      </w:r>
    </w:p>
    <w:p>
      <w:pPr>
        <w:pStyle w:val="BodyText"/>
      </w:pPr>
      <w:r>
        <w:br/>
      </w:r>
    </w:p>
    <w:p>
      <w:pPr>
        <w:pStyle w:val="BodyText"/>
      </w:pPr>
      <w:r>
        <w:rPr>
          <w:bCs/>
          <w:b/>
        </w:rPr>
        <w:t xml:space="preserve">2. Введена административная ответственность за самовольное пользование централизованными системами водоснабжения и водоотведения.</w:t>
      </w:r>
    </w:p>
    <w:p>
      <w:pPr>
        <w:pStyle w:val="BodyText"/>
      </w:pPr>
      <w:r>
        <w:br/>
      </w:r>
    </w:p>
    <w:p>
      <w:pPr>
        <w:pStyle w:val="BodyText"/>
      </w:pPr>
      <w:r>
        <w:t xml:space="preserve">В ст 7.20 КоАП РФ Федеральным законом от 08.08.2024 № 241-ФЗ внесены изменения, согласно которым административная ответственность теперь наступает как и ранее - за самовольное подключение к централизованным системам водоснабжения и водоотведения, так и за самовольное пользование такими системами. Кроме того, увеличен размер наказания за указанное правонарушение. Так, данные деяния влекут наложение административного штрафа:</w:t>
      </w:r>
    </w:p>
    <w:p>
      <w:pPr>
        <w:pStyle w:val="BodyText"/>
      </w:pPr>
      <w:r>
        <w:t xml:space="preserve">- на граждан в размере от 10 до 15 тысяч рублей (ранее - от 1 до 1,5 тыс. руб.):</w:t>
      </w:r>
    </w:p>
    <w:p>
      <w:pPr>
        <w:pStyle w:val="BodyText"/>
      </w:pPr>
      <w:r>
        <w:t xml:space="preserve">- на должностных лиц - от 30 до 80 тыс. руб. (ранее - от 2 до 3 тыс. руб.);</w:t>
      </w:r>
    </w:p>
    <w:p>
      <w:pPr>
        <w:pStyle w:val="BodyText"/>
      </w:pPr>
      <w:r>
        <w:t xml:space="preserve">- на юридических лиц - от 100 до 200 тыс. руб. (ранее - от 20 до 30 тыс. руб.).</w:t>
      </w:r>
    </w:p>
    <w:p>
      <w:pPr>
        <w:pStyle w:val="BodyText"/>
      </w:pPr>
      <w:r>
        <w:t xml:space="preserve">Новшества вступили в силу с 19.08.2024.</w:t>
      </w:r>
    </w:p>
    <w:p>
      <w:pPr>
        <w:pStyle w:val="BodyText"/>
      </w:pPr>
      <w:r>
        <w:br/>
      </w:r>
    </w:p>
    <w:bookmarkEnd w:id="20"/>
    <w:bookmarkEnd w:id="21"/>
    <w:bookmarkStart w:id="23" w:name="dpage_1_h"/>
    <w:bookmarkStart w:id="22" w:name="pagecontainer_1"/>
    <w:bookmarkEnd w:id="22"/>
    <w:bookmarkEnd w:id="23"/>
    <w:bookmarkStart w:id="25" w:name="dpage_2_h"/>
    <w:bookmarkStart w:id="24" w:name="pagecontainer_2"/>
    <w:p>
      <w:pPr>
        <w:pStyle w:val="BodyText"/>
      </w:pPr>
      <w:r>
        <w:rPr>
          <w:bCs/>
          <w:b/>
        </w:rPr>
        <w:t xml:space="preserve">3. Ответственность за сокрытие или искажение экологической информации.</w:t>
      </w:r>
    </w:p>
    <w:p>
      <w:pPr>
        <w:pStyle w:val="BodyText"/>
      </w:pPr>
      <w:r>
        <w:br/>
      </w:r>
    </w:p>
    <w:p>
      <w:pPr>
        <w:pStyle w:val="BodyText"/>
      </w:pPr>
      <w:r>
        <w:t xml:space="preserve">Статьей 8.5 КоАП РФ установлена ответственность за сокрытие или искажение экологической информации. Федеральным законом от 08.08.2024 № 242-ФЗ указанная статья изложена в новой редакции.</w:t>
      </w:r>
    </w:p>
    <w:p>
      <w:pPr>
        <w:pStyle w:val="BodyText"/>
      </w:pPr>
      <w:r>
        <w:t xml:space="preserve">Сокрытие, умышленное искажение или несвоевременное сообщение полной и достоверной информации о состоянии окружающей среды и природных ресурсов, об источниках загрязнения окружающей среды и природных ресурсов или иного вредного воздействия на окружающую среду и природные ресурсы, о радиационной обстановке, данных, полученных при осуществлении производственного экологического контроля, либо информации, содержащейся в заявлении о постановке на государственный учет объектов, оказывающих негативное воздействие на окружающую среду, или декларации о воздействии на окружающую среду, декларации о плате за негативное воздействие на окружающую среду, отчете о выполнении плана мероприятий по охране окружающей среды или программы повышения экологической эффективности, а равно искажение сведений о состоянии земель, водных объектов и других объектов окружающей среды лицами, обязанными сообщать такую информацию является административным правонарушением, за исключением отдельных случаев.</w:t>
      </w:r>
    </w:p>
    <w:p>
      <w:pPr>
        <w:pStyle w:val="BodyText"/>
      </w:pPr>
      <w:r>
        <w:t xml:space="preserve">Наказание предусмотрено в виде административного штрафа на граждан в размере от 1 тысячи до 3 тысяч рублей; на должностных лиц от 10 тысяч до 30 тысяч рублей; на юридических лиц от 50 тысяч до 200 тысяч рублей.</w:t>
      </w:r>
    </w:p>
    <w:p>
      <w:pPr>
        <w:pStyle w:val="BodyText"/>
      </w:pPr>
      <w:r>
        <w:t xml:space="preserve">Повторное совершение этого административного правонарушения влечет наложение административного штрафа в большем размере.</w:t>
      </w:r>
    </w:p>
    <w:p>
      <w:pPr>
        <w:pStyle w:val="BodyText"/>
      </w:pPr>
      <w:r>
        <w:t xml:space="preserve">Так, для граждан штраф составит от 3 тысяч до 5 тысяч рублей; для должностных лиц - от 30 тысяч до 50 тысяч рублей или дисквалификация на срок от одного 1 до 3 лет; для юридических лиц - от 200 тысяч до 300 тысяч рублей.</w:t>
      </w:r>
    </w:p>
    <w:p>
      <w:pPr>
        <w:pStyle w:val="BodyText"/>
      </w:pPr>
      <w:r>
        <w:br/>
      </w:r>
    </w:p>
    <w:p>
      <w:pPr>
        <w:pStyle w:val="BodyText"/>
      </w:pPr>
      <w:r>
        <w:rPr>
          <w:bCs/>
          <w:b/>
        </w:rPr>
        <w:t xml:space="preserve">4. С 1 марта 2025 года на территории Российской Федерации будет запрещена продажа безалкогольных тонизирующих напитков, в том числе энергетиков, несовершеннолетним.</w:t>
      </w:r>
    </w:p>
    <w:p>
      <w:pPr>
        <w:pStyle w:val="BodyText"/>
      </w:pPr>
      <w:r>
        <w:br/>
      </w:r>
    </w:p>
    <w:p>
      <w:pPr>
        <w:pStyle w:val="BodyText"/>
      </w:pPr>
      <w:r>
        <w:t xml:space="preserve">08.08.2024 принят Федеральный закон № 304-ФЗ «О запрете продажи безалкогольных тонизирующих напитков (в том числе энергетических) несовершеннолетним и о внесении изменения в статью 44 Федерального закона «Об общих принципах организации публичной власти в субъектах Российской Федерации».</w:t>
      </w:r>
    </w:p>
    <w:p>
      <w:pPr>
        <w:pStyle w:val="BodyText"/>
      </w:pPr>
      <w:r>
        <w:t xml:space="preserve">Понятие «безалкогольные тонизирующие напитки (в том числе энергетические)» установлено техническим регламентом Таможенного союза "О безопасности пищевой продукции". К ним отнесены тонизирующие напитки - безалкогольные и слабоалкогольные напитки, содержащие тонизирующие вещества (компоненты), в том числе растительного происхождения, в количестве, достаточном для обеспечения тонизирующего эффекта на организм человека, за исключением чая, кофе и напитков на их основе.</w:t>
      </w:r>
    </w:p>
    <w:p>
      <w:pPr>
        <w:pStyle w:val="BodyText"/>
      </w:pPr>
      <w:r>
        <w:t xml:space="preserve">Для предотвращения воздействия безалкогольных тонизирующих напитков, в том числе энергетических, на здоровье несовершеннолетних организациям, индивидуальным предпринимателям, крестьянским (фермерским) хозяйствам без образования юридического лица, гражданам Российской Федерации, иностранным гражданам и лицам без гражданства запрещается продажа несовершеннолетним таких напитков.</w:t>
      </w:r>
    </w:p>
    <w:p>
      <w:pPr>
        <w:pStyle w:val="BodyText"/>
      </w:pPr>
      <w:r>
        <w:t xml:space="preserve">Продавец обязан отказать покупателю в продаже таких напитков, если имеются сомнения в достижении покупателем совершеннолетия и документ, позволяющий установить его возраст, не был представлен.</w:t>
      </w:r>
    </w:p>
    <w:p>
      <w:pPr>
        <w:pStyle w:val="BodyText"/>
      </w:pPr>
      <w:r>
        <w:t xml:space="preserve">Следить за соблюдением требований будут уполномоченные региональные органы без проведения плановых контрольно-надзорных мероприятий.</w:t>
      </w:r>
    </w:p>
    <w:p>
      <w:pPr>
        <w:pStyle w:val="BodyText"/>
      </w:pPr>
      <w:r>
        <w:t xml:space="preserve">Законами субъектов РФ могут быть установлены ограничения времени и мест продажи таких напитков. На федеральном уровне в настоящее время таких правил нет. Однако в Московской области и ряде других субъектов РФ продавать тонизирующие напитки, в том числе энергетики, несовершеннолетним в настоящее время запрещено. Нарушение требований настоящего Федерального закона влечет за собой ответственность в соответствии с законодательством Российской Федерации.</w:t>
      </w:r>
    </w:p>
    <w:p>
      <w:pPr>
        <w:pStyle w:val="BodyText"/>
      </w:pPr>
      <w:r>
        <w:br/>
      </w:r>
    </w:p>
    <w:p>
      <w:pPr>
        <w:pStyle w:val="BodyText"/>
      </w:pPr>
      <w:r>
        <w:rPr>
          <w:bCs/>
          <w:b/>
        </w:rPr>
        <w:t xml:space="preserve">5. Особенности увольнении родителя с ребенком в возрасте до 18 лет, если другой родитель призван на военную службу.</w:t>
      </w:r>
    </w:p>
    <w:p>
      <w:pPr>
        <w:pStyle w:val="BodyText"/>
      </w:pPr>
      <w:r>
        <w:br/>
      </w:r>
    </w:p>
    <w:p>
      <w:pPr>
        <w:pStyle w:val="BodyText"/>
      </w:pPr>
      <w:r>
        <w:t xml:space="preserve">Родитель с ребенком в возрасте до 18 лет имеет преимущественное право оставления на работе при сокращении численности или штата работников при равной производительности труда и квалификации, если другой родитель (ч. 2 ст. 179 ТК РФ):</w:t>
      </w:r>
    </w:p>
    <w:p>
      <w:pPr>
        <w:pStyle w:val="BodyText"/>
      </w:pPr>
      <w:r>
        <w:t xml:space="preserve">- призван на военную службу по мобилизации;</w:t>
      </w:r>
    </w:p>
    <w:p>
      <w:pPr>
        <w:pStyle w:val="BodyText"/>
      </w:pPr>
      <w:r>
        <w:t xml:space="preserve">- проходит военную службу по контракту, заключенному с военнослужащим, проходящим военную службу по призыву, или гражданином, пребывающим в запасе, которые поступают на военную службу в период чрезвычайных обстоятельств (п. 7 ст. 38 Федерального закона от 28.03.1998 № 53-ФЗ);</w:t>
      </w:r>
    </w:p>
    <w:p>
      <w:pPr>
        <w:pStyle w:val="BodyText"/>
      </w:pPr>
      <w:r>
        <w:t xml:space="preserve">- заключил контракт о добровольном содействии в выполнении задач, возложенных на Вооруженные Силы Российской Федерации или войска национальной гвардии Вооруженные Силы Российской Федерации Российской Федерации</w:t>
      </w:r>
    </w:p>
    <w:p>
      <w:pPr>
        <w:pStyle w:val="BodyText"/>
      </w:pPr>
      <w:r>
        <w:br/>
      </w:r>
    </w:p>
    <w:p>
      <w:pPr>
        <w:pStyle w:val="BodyText"/>
      </w:pPr>
      <w:r>
        <w:rPr>
          <w:bCs/>
          <w:b/>
        </w:rPr>
        <w:t xml:space="preserve">6. Обжалование дисциплинарного взыскания. Трудовым кодексом Российской Федерации предусмотрены как порядок применения дисциплинарного взыскания, так и порядок его обжалования (ст. 193 ТКРФ).</w:t>
      </w:r>
    </w:p>
    <w:p>
      <w:pPr>
        <w:pStyle w:val="BodyText"/>
      </w:pPr>
      <w:r>
        <w:br/>
      </w:r>
    </w:p>
    <w:bookmarkEnd w:id="24"/>
    <w:bookmarkEnd w:id="25"/>
    <w:bookmarkStart w:id="27" w:name="dpage_3_h"/>
    <w:bookmarkStart w:id="26" w:name="pagecontainer_3"/>
    <w:bookmarkEnd w:id="26"/>
    <w:bookmarkEnd w:id="27"/>
    <w:bookmarkStart w:id="29" w:name="dpage_4_h"/>
    <w:bookmarkStart w:id="28" w:name="pagecontainer_4"/>
    <w:p>
      <w:pPr>
        <w:pStyle w:val="BodyText"/>
      </w:pPr>
      <w:r>
        <w:t xml:space="preserve">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 Дисциплинарное взыскание не может быть применено позднее 6 месяцев со дня совершения проступка, а по результатам ревизии, проверки финансово- хозяйственной деятельности или аудиторской проверки - позднее 2 лет со дня его совершения. Дисциплинарное взыскание за несоблюдение ограничений и запретов, неисполнение обязанностей, установленных законодательством РФ 0 противодействии коррупции, не может быть применено позднее трех лет со дня совершения проступка. В указанные сроки не включается время производства по уголовному делу.</w:t>
      </w:r>
    </w:p>
    <w:p>
      <w:pPr>
        <w:pStyle w:val="BodyText"/>
      </w:pPr>
      <w:r>
        <w:t xml:space="preserve">Обжаловать дисциплинарное взыскание можно, обратившись в государственную инспекцию труда (ГИТ), комиссию по трудовым спорам (КТС), или в суд.</w:t>
      </w:r>
    </w:p>
    <w:p>
      <w:pPr>
        <w:pStyle w:val="BodyText"/>
      </w:pPr>
      <w:r>
        <w:t xml:space="preserve">Законодательством не закреплены конкретные сроки для обращения в ГИТ, за защитой трудовых прав. Вместе с тем следует придерживаться сроков, установленных для обращения в суд.</w:t>
      </w:r>
    </w:p>
    <w:p>
      <w:pPr>
        <w:pStyle w:val="BodyText"/>
      </w:pPr>
      <w:r>
        <w:t xml:space="preserve">Работник вправе обратиться в суд в течение трех месяцев со дня, когда узнал или должен был узнать о нарушении своего права, а по спорам об увольнении гв течение одного месяца со дня вручения копии приказа об увольнении либо со дня выдачи трудовой книжки. При пропуске указанных сроков но уважительным причинам они могут быть восстановлены судом. Дисциплинарное взыскание возможно обжаловать в КТС, которая обладает полномочиями по рассмотрению индивидуальных трудовых споров и может быть образована в том числе по инициативе работников. Обратиться в КТС можно в трехмесячный срок со дня, когда работник узнал или должен был узнать о нарушении своего права.</w:t>
      </w:r>
    </w:p>
    <w:p>
      <w:pPr>
        <w:pStyle w:val="BodyText"/>
      </w:pPr>
      <w:r>
        <w:br/>
      </w:r>
    </w:p>
    <w:p>
      <w:pPr>
        <w:pStyle w:val="BodyText"/>
      </w:pPr>
      <w:r>
        <w:rPr>
          <w:bCs/>
          <w:b/>
        </w:rPr>
        <w:t xml:space="preserve">7. Основания прекращения права на управление транспортными средствами.</w:t>
      </w:r>
    </w:p>
    <w:p>
      <w:pPr>
        <w:pStyle w:val="BodyText"/>
      </w:pPr>
      <w:r>
        <w:br/>
      </w:r>
    </w:p>
    <w:p>
      <w:pPr>
        <w:pStyle w:val="BodyText"/>
      </w:pPr>
      <w:r>
        <w:t xml:space="preserve">В соответствии со ст. 28 Федерального закона от 10.12.1995 № 196-ФЗ «О безопасности дорожного движения» выделяются следующие основания прекращения действия права на управление транспортными средствами:</w:t>
      </w:r>
    </w:p>
    <w:p>
      <w:pPr>
        <w:pStyle w:val="BodyText"/>
      </w:pPr>
      <w:r>
        <w:br/>
      </w:r>
    </w:p>
    <w:p>
      <w:pPr>
        <w:pStyle w:val="BodyText"/>
      </w:pPr>
      <w:r>
        <w:t xml:space="preserve">1) истечение срока действия водительского удостоверения; 2) выявленное В результате обязательного медицинского освидетельствования наличие медицинских противопоказаний или ранее не выявлявшихся медицинских ограничений к управлению транспортными средствами в зависимости от их категорий, назначения и конструктивных характеристик; 3) лишение права на управление транспортными средствами.</w:t>
      </w:r>
    </w:p>
    <w:p>
      <w:pPr>
        <w:pStyle w:val="BodyText"/>
      </w:pPr>
      <w:r>
        <w:t xml:space="preserve">Вопрос о прекращении права на управление транспортными средствами по причине выявленного в результате обязательного медицинского освидетельствования наличие медицинских противопоказаний или ранее не выявлявшихся медицинских ограничений разрешается в судебном порядке в ходе рассмотрения предъявленного прокурором административного искового заявления в порядке ч. 1 ст. 39 Кодекса административного судопроизводства Российской Федерации.</w:t>
      </w:r>
    </w:p>
    <w:p>
      <w:pPr>
        <w:pStyle w:val="BodyText"/>
      </w:pPr>
      <w:r>
        <w:t xml:space="preserve">Так, перечень медицинских противопоказаний к управлению транспортным средством утвержден постановлением Правительства Российской Федерации от 29.12.2014 № 1604.</w:t>
      </w:r>
    </w:p>
    <w:p>
      <w:pPr>
        <w:pStyle w:val="BodyText"/>
      </w:pPr>
      <w:r>
        <w:t xml:space="preserve">К ним относятся: 1. Психические расстройства и расстройства поведения, такие как:</w:t>
      </w:r>
    </w:p>
    <w:p>
      <w:pPr>
        <w:pStyle w:val="BodyText"/>
      </w:pPr>
      <w:r>
        <w:t xml:space="preserve">- органические, включая симптоматические, психические расстройства;</w:t>
      </w:r>
    </w:p>
    <w:p>
      <w:pPr>
        <w:pStyle w:val="BodyText"/>
      </w:pPr>
      <w:r>
        <w:t xml:space="preserve">- шизофрения, шизотипические и бредовые расстройства;</w:t>
      </w:r>
    </w:p>
    <w:p>
      <w:pPr>
        <w:pStyle w:val="BodyText"/>
      </w:pPr>
      <w:r>
        <w:t xml:space="preserve">- расстройства настроения (аффективные расстройства);</w:t>
      </w:r>
    </w:p>
    <w:p>
      <w:pPr>
        <w:pStyle w:val="BodyText"/>
      </w:pPr>
      <w:r>
        <w:t xml:space="preserve">- невротические, связанные со стрессом расстройства;</w:t>
      </w:r>
    </w:p>
    <w:p>
      <w:pPr>
        <w:pStyle w:val="BodyText"/>
      </w:pPr>
      <w:r>
        <w:t xml:space="preserve">- расстройства личности и поведения в зрелом возрасте;</w:t>
      </w:r>
    </w:p>
    <w:p>
      <w:pPr>
        <w:pStyle w:val="BodyText"/>
      </w:pPr>
      <w:r>
        <w:t xml:space="preserve">- умственная отсталость.</w:t>
      </w:r>
    </w:p>
    <w:p>
      <w:pPr>
        <w:pStyle w:val="BodyText"/>
      </w:pPr>
      <w:r>
        <w:t xml:space="preserve">2. Психические расстройства и расстройства поведения, связанные с употреблением психоактивных веществ (до прекращения диспансерного наблюдения в связи со стойкой ремиссией (выздоровлением)).</w:t>
      </w:r>
    </w:p>
    <w:p>
      <w:pPr>
        <w:pStyle w:val="BodyText"/>
      </w:pPr>
      <w:r>
        <w:t xml:space="preserve">3. Болезни нервной системы (эпилепсия).</w:t>
      </w:r>
    </w:p>
    <w:p>
      <w:pPr>
        <w:pStyle w:val="BodyText"/>
      </w:pPr>
      <w:r>
        <w:t xml:space="preserve">4. Болезни глаза и его придаточного аппарата (ахроматопсия и слепота обоих глаз).</w:t>
      </w:r>
    </w:p>
    <w:p>
      <w:pPr>
        <w:pStyle w:val="BodyText"/>
      </w:pPr>
      <w:r>
        <w:br/>
      </w:r>
    </w:p>
    <w:p>
      <w:pPr>
        <w:pStyle w:val="BodyText"/>
      </w:pPr>
      <w:r>
        <w:rPr>
          <w:bCs/>
          <w:b/>
        </w:rPr>
        <w:t xml:space="preserve">8. Меры по предупреждению производственного травматизма</w:t>
      </w:r>
    </w:p>
    <w:p>
      <w:pPr>
        <w:pStyle w:val="BodyText"/>
      </w:pPr>
      <w:r>
        <w:br/>
      </w:r>
    </w:p>
    <w:p>
      <w:pPr>
        <w:pStyle w:val="BodyText"/>
      </w:pPr>
      <w:r>
        <w:t xml:space="preserve">В целях обеспечения безопасности условий труда работодатель должен принимать меры по предотвращению производственного травматизма и профессиональных заболеваний работников.</w:t>
      </w:r>
    </w:p>
    <w:p>
      <w:pPr>
        <w:pStyle w:val="BodyText"/>
      </w:pPr>
      <w:r>
        <w:t xml:space="preserve">К числу таких мер следует отнести (ст. ст. 214, 220 ТК РФ):</w:t>
      </w:r>
    </w:p>
    <w:p>
      <w:pPr>
        <w:pStyle w:val="BodyText"/>
      </w:pPr>
      <w:r>
        <w:t xml:space="preserve">- проведение медицинских осмотров работников, являющихся обязательными для определенных категорий трудящихся, например для занятых на работах с опасными условиями труда;</w:t>
      </w:r>
    </w:p>
    <w:p>
      <w:pPr>
        <w:pStyle w:val="BodyText"/>
      </w:pPr>
      <w:r>
        <w:t xml:space="preserve">- проведение специальной оценки условий труда;</w:t>
      </w:r>
    </w:p>
    <w:p>
      <w:pPr>
        <w:pStyle w:val="BodyText"/>
      </w:pPr>
      <w:r>
        <w:t xml:space="preserve">- оценка профессиональных рисков; - проведение обучения работников;</w:t>
      </w:r>
    </w:p>
    <w:p>
      <w:pPr>
        <w:pStyle w:val="BodyText"/>
      </w:pPr>
      <w:r>
        <w:t xml:space="preserve">- обеспечение работников, занятых на работах с вредными и опасными условиями труда, средствами индивидуальной защиты. При производстве работ (оказании услуг) на территории, находящейся под контролем другого работодателя (иного лица), работодатель, осуществляющий производство работ (оказание услуг), обязан перед началом производства согласовать с другим работодателем мероприятия по предотвращению случаев повреждения здоровья работников, в том числе работников сторонних организаций, производящих работы (оказывающих услуги) на данной территории.</w:t>
      </w:r>
    </w:p>
    <w:p>
      <w:pPr>
        <w:pStyle w:val="BodyText"/>
      </w:pPr>
      <w:r>
        <w:t xml:space="preserve">При повреждении здоровья или В случае смерти работника вследствие несчастного случая на производстве либо профессионального заболевания работнику (его семье) возмещаются его утраченный заработок, а также связанные с повреждением здоровья дополнительные расходы на медицинскую, социальную и профессиональную реабилитацию либо соответствующие расходы в связи со смертью работника. Моральный вред, причиненный работнику неправомерными действиями или бездействием работодателя, возмещается работнику в денежной форме в размерах, определяемых соглашением сторон трудового договора. В случае возникновения спора факт причинения работнику морального вреда и размеры его возмещения определяются судом.</w:t>
      </w:r>
    </w:p>
    <w:p>
      <w:pPr>
        <w:pStyle w:val="BodyText"/>
      </w:pPr>
      <w:r>
        <w:br/>
      </w:r>
    </w:p>
    <w:p>
      <w:pPr>
        <w:pStyle w:val="BodyText"/>
      </w:pPr>
      <w:r>
        <w:rPr>
          <w:bCs/>
          <w:b/>
        </w:rPr>
        <w:t xml:space="preserve">9. Ограничения на увольнение женщин с детьми по инициативе работодателя.</w:t>
      </w:r>
    </w:p>
    <w:p>
      <w:pPr>
        <w:pStyle w:val="BodyText"/>
      </w:pPr>
      <w:r>
        <w:br/>
      </w:r>
    </w:p>
    <w:p>
      <w:pPr>
        <w:pStyle w:val="BodyText"/>
      </w:pPr>
      <w:r>
        <w:t xml:space="preserve">Независимо от возраста ребенка работодатель вправе уволить женщину по своей инициативе в связи с ликвидацией организации, за неоднократное неисполнение работницей без уважительных причин трудовых обязанностей (если она имеет дисциплинарное взыскание), за прогул и но другим основаниям, перечисленным в ч. 4 ст. 261 ТКРФ, По остальным основаниям, связанным с инициативой работодателя, нельзя увольнять следующих женщин с детьми:</w:t>
      </w:r>
    </w:p>
    <w:p>
      <w:pPr>
        <w:pStyle w:val="BodyText"/>
      </w:pPr>
      <w:r>
        <w:t xml:space="preserve">- работницу, у которой есть ребенок в возрасте до трех лет;</w:t>
      </w:r>
    </w:p>
    <w:p>
      <w:pPr>
        <w:pStyle w:val="BodyText"/>
      </w:pPr>
      <w:r>
        <w:t xml:space="preserve">- одинокую мать, воспитывающую ребенка-инвалида в возрасте до 18 лет или ребенка в возрасте до 16 лет; - женщину, воспитывающую ребенка в возрасте до 16 лет (ребенка-инвалида в возрасте до 18 лет) без матери.</w:t>
      </w:r>
    </w:p>
    <w:p>
      <w:pPr>
        <w:pStyle w:val="BodyText"/>
      </w:pPr>
      <w:r>
        <w:t xml:space="preserve">Например, такая работница может быть бабушкой ребенка;</w:t>
      </w:r>
    </w:p>
    <w:p>
      <w:pPr>
        <w:pStyle w:val="BodyText"/>
      </w:pPr>
      <w:r>
        <w:t xml:space="preserve">- женщину, которая является единственным кормильцем ребенка-инвалида в возрасте до 18 лет или ребенка в возрасте до трех лет в семье, где трое и более детей в возрасте до 14 лет, если второй родитель (законный представитель) не работает. Кроме того, действует общий запрет на увольнение работницы по инициативе работодателя в период ее отпуска и больничного.</w:t>
      </w:r>
    </w:p>
    <w:p>
      <w:pPr>
        <w:pStyle w:val="BodyText"/>
      </w:pPr>
      <w:r>
        <w:t xml:space="preserve">Исключение - если увольнение связано с ликвидацией организации (Ч. 6 ст. 81 ТКРФ).</w:t>
      </w:r>
    </w:p>
    <w:p>
      <w:pPr>
        <w:pStyle w:val="BodyText"/>
      </w:pPr>
      <w:r>
        <w:br/>
      </w:r>
    </w:p>
    <w:p>
      <w:pPr>
        <w:pStyle w:val="BodyText"/>
      </w:pPr>
      <w:r>
        <w:rPr>
          <w:bCs/>
          <w:b/>
        </w:rPr>
        <w:t xml:space="preserve">10. Права граждан при обращении в правоохранительные органы с сообщениями о преступлениях.</w:t>
      </w:r>
    </w:p>
    <w:p>
      <w:pPr>
        <w:pStyle w:val="BodyText"/>
      </w:pPr>
      <w:r>
        <w:br/>
      </w:r>
    </w:p>
    <w:p>
      <w:pPr>
        <w:pStyle w:val="BodyText"/>
      </w:pPr>
      <w:r>
        <w:t xml:space="preserve">Права граждан при обращениях с сообщениями © преступлениях в правоохранительные органы регламентированы Уголовно-процессуальным кодексом Российской Федерации (далее — УПК РФ). Согласно пункту 43 статьи 5 УПК РФ к сообщениям о преступлениях относятся в том числе заявление о преступлении. С заявлением о преступлении в правоохранительные органы могут обратиться любые лица, при этом отказ в приеме такого заявления может быть обжалован прокурору или в суд в порядке, установленном статьями 124 и 125 УПК РФ.</w:t>
      </w:r>
    </w:p>
    <w:bookmarkEnd w:id="28"/>
    <w:bookmarkEnd w:id="29"/>
    <w:bookmarkStart w:id="31" w:name="dpage_6_h"/>
    <w:bookmarkStart w:id="30" w:name="pagecontainer_6"/>
    <w:bookmarkEnd w:id="30"/>
    <w:bookmarkEnd w:id="31"/>
    <w:bookmarkStart w:id="33" w:name="dpage_7_h"/>
    <w:bookmarkStart w:id="32" w:name="pagecontainer_7"/>
    <w:p>
      <w:pPr>
        <w:pStyle w:val="BodyText"/>
      </w:pPr>
      <w:r>
        <w:t xml:space="preserve">Как следует из статьи 141 УПК РФ заявление о преступлении может быть сделано в устном или письменном виде, при этом письменное заявление о преступлении должно быть подписано заявителем, устное заявление о преступлении заносится в протокол, который подписывается заявителем и лицом, принявшим данное заявление. Если устное сообщение о преступлении сделано при производстве следственного действия или в ходе судебного разбирательства, то оно заносится соответственно в протокол следственного действия или протокол судебного заседания. В соответствии с частью 4 статьи 144 УПК РФ заявителю выдается документ о принятии сообщения о преступлении с указанием данных о лице, его принявшем, а также даты и времени его принятия. Дознаватель, орган дознания, следователь, руководитель следственного органа обязаны принять, проверить сообщение о любом совершенном или готовящемся преступлении и в пределах компетенции, установленной УПК РФ, принять по нему решение в срок не позднее 3 суток со дня поступления указанного сообщения (часть 1 статьи 144 УПК РФ), вместе с тем этом этот срок может быть продлен в установленном порядке и при наличии оснований до 10 и 30 суток соответственно уполномоченным должностным лицом (часть 3 статьи 144 УПК РФ).</w:t>
      </w:r>
    </w:p>
    <w:p>
      <w:pPr>
        <w:pStyle w:val="BodyText"/>
      </w:pPr>
      <w:r>
        <w:t xml:space="preserve">Участники проверки заявления о преступлении в частности имеют право не свидетельствовать против самого себя, своего супруга (своей супруги) и других близких родственников, круг которых определен пунктом 4 статьи 5 УПК РФ, пользоваться услугами адвоката, давать объяснения, предоставлять необходимые сведения и документы, знакомиться с материалам проверки в установленном порядке, а также приносить жалобы на действия (бездействие) и решения дознавателя, начальника подразделения дознания, начальника органа дознания, органа дознания, следователя, руководителя следственного органа в порядке, установленном главой 16 УПК РФ.</w:t>
      </w:r>
    </w:p>
    <w:p>
      <w:pPr>
        <w:pStyle w:val="BodyText"/>
      </w:pPr>
      <w:r>
        <w:t xml:space="preserve">По итогам рассмотрения заявления о преступлении и принятии по результатам проверки решения о возбуждении уголовного дела, об отказе в возбуждении уголовного дела или передаче сообщения о преступлении по подследственности, а по уголовным делам частного обвинения - в суд, заявителю в обязательном порядке сообщается об этом.</w:t>
      </w:r>
    </w:p>
    <w:p>
      <w:pPr>
        <w:pStyle w:val="BodyText"/>
      </w:pPr>
      <w:r>
        <w:br/>
      </w:r>
    </w:p>
    <w:p>
      <w:pPr>
        <w:pStyle w:val="BodyText"/>
      </w:pPr>
      <w:r>
        <w:rPr>
          <w:bCs/>
          <w:b/>
        </w:rPr>
        <w:t xml:space="preserve">11. Об ответственности за совершение правонарушений экстремистской направленности</w:t>
      </w:r>
      <w:r>
        <w:t xml:space="preserve">.</w:t>
      </w:r>
    </w:p>
    <w:p>
      <w:pPr>
        <w:pStyle w:val="BodyText"/>
      </w:pPr>
      <w:r>
        <w:br/>
      </w:r>
    </w:p>
    <w:p>
      <w:pPr>
        <w:pStyle w:val="BodyText"/>
      </w:pPr>
      <w:r>
        <w:t xml:space="preserve">Экстремизм как социальное явление негативно отражается на жизнедеятельности общества и ставит под угрозу стабильное функционирование и развитие любого государства. В Российской Федерации предусмотрена административная и уголовная ответственность за правонарушения экстремистской направленности, применение которой зависит от степени общественной опасности совершаемых проступков.</w:t>
      </w:r>
    </w:p>
    <w:bookmarkEnd w:id="32"/>
    <w:bookmarkEnd w:id="33"/>
    <w:bookmarkStart w:id="35" w:name="dpage_8_h"/>
    <w:bookmarkStart w:id="34" w:name="pagecontainer_8"/>
    <w:p>
      <w:pPr>
        <w:pStyle w:val="BodyText"/>
      </w:pPr>
      <w:r>
        <w:t xml:space="preserve">Базовым законом, который целиком и полностью посвящен борьбе с данным социальным злом, является Федеральный закон от 25.07.2022 № 114 - ФЗ «О противодействии экстремистской деятельности» (далее — Федеральный закон № 114-ФЗ).</w:t>
      </w:r>
    </w:p>
    <w:p>
      <w:pPr>
        <w:pStyle w:val="BodyText"/>
      </w:pPr>
      <w:r>
        <w:t xml:space="preserve">Исходя из статьи 1 Федерального закона № 114-ФЗ к экстремистской деятельности относятся: насильственное изменение основ конституционного строя и нарушение целостности Российской Федерации; публичное оправдание терроризма и иная террористическая деятельность, возбуждение социальной, расовой, национальной или религиозной розни; пропаганда исключительности, превосходства либо неполноценности человека по признаку его социальной, расовой, национальной, религиозной или языковой принадлежности или отношения к религии; пропаганда и публичное демонстрирование нацистской атрибутики или символики либо атрибутики или символики, сходных с нацистской атрибутикой или символикой до степени смешения, либо публичное демонстрирование атрибутики или символики экстремистских организаций за исключением случаев использования нацистской атрибутики или символики, либо атрибутики или символики, сходных с нацистской атрибутикой или символикой до степени смешения, либо атрибутики или символики экстремистских организаций, при которых формируется негативное отношение к идеологии нацизма и экстремизма и отсутствуют признаки пропаганды или оправдания нацистской и экстремистской идеологии; организация и подготовка указанных деяний, а также подстрекательство к их осуществлению; финансирование указанных деяний либо иное содействие в их организации, подготовке и осуществлении, в том числе путем предоставления учебной, полиграфической и материально-технической базы, телефонной и иных видов связи или оказания информационных услуг и др.</w:t>
      </w:r>
    </w:p>
    <w:p>
      <w:pPr>
        <w:pStyle w:val="BodyText"/>
      </w:pPr>
      <w:r>
        <w:t xml:space="preserve">Действующее российское административное законодательство содержит ряд норм, предусматривающих ответственность за различные проявления экстремизма. Так, статьей 20.3 КоАП РФ предусмотрена административная ответственность за пропаганду либо публичное демонстрирование нацистской атрибутики или символики либо атрибутики или символики, сходных © нацистской атрибутикой или символикой до степени смешения, атрибутики или символики нацистских, экстремистских организаций, а также иных атрибутики или символики, запрещенных федеральными законами, а также за изготовление или сбыт в целях пропаганды либо приобретение в целях сбыта или пропаганды указанной атрибутики или символики.</w:t>
      </w:r>
    </w:p>
    <w:p>
      <w:pPr>
        <w:pStyle w:val="BodyText"/>
      </w:pPr>
      <w:r>
        <w:t xml:space="preserve">В соответствии со статьей 20.3.1 КоАП РФ лицо будет привлечено к ответственности за возбуждение ненависти либо вражды, а равно унижение достоинства человека либо группы лиц по признакам пола, расы, национальности, языка, происхождения, отношения к религии, а равно принадлежности к какой- либо социальной группе, совершенные публично, в том числе с использованием средств массовой информации либо информационно-телекоммуникационных сетей, включая сеть «Интернет».</w:t>
      </w:r>
    </w:p>
    <w:bookmarkEnd w:id="34"/>
    <w:bookmarkEnd w:id="35"/>
    <w:bookmarkStart w:id="37" w:name="dpage_9_h"/>
    <w:bookmarkStart w:id="36" w:name="pagecontainer_9"/>
    <w:p>
      <w:pPr>
        <w:pStyle w:val="BodyText"/>
      </w:pPr>
      <w:r>
        <w:t xml:space="preserve">Статья 20.3.2 КоАП РФ определяет особенности привлечения к административной ответственности за публичные призывы к осуществлению действий, направленных на нарушение территориальной целостности Российской Федерации.</w:t>
      </w:r>
    </w:p>
    <w:p>
      <w:pPr>
        <w:pStyle w:val="BodyText"/>
      </w:pPr>
      <w:r>
        <w:t xml:space="preserve">Согласно статье 20.29 КоАП РФ наступает административная ответственность за массовое распространение экстремистских материалов, включенных в опубликованный федеральный список экстремистских материалов, а равно их производство либо хранение в целях массового распространения.</w:t>
      </w:r>
    </w:p>
    <w:p>
      <w:pPr>
        <w:pStyle w:val="BodyText"/>
      </w:pPr>
      <w:r>
        <w:t xml:space="preserve">Вместе с тем, Кодекс об административных правонарушениях Российской Федерации предусматривает ответственность за другие противоправные действия, которые также могут носить экстремистский характер или исходить из экстремистских побуждений. К их числу можно отнести: нарушение законодательства о свободе совести, свободе вероисповедания и о религиозных объединениях (статья 5.26); злоупотребление свободой массовой информации (часть 2 статьи 13.15); организация деятельности общественного или религиозного объединения, в отношении которого действует имеющее законную силу решение о приостановлении его деятельности (статья 20.28).</w:t>
      </w:r>
    </w:p>
    <w:p>
      <w:pPr>
        <w:pStyle w:val="BodyText"/>
      </w:pPr>
      <w:r>
        <w:t xml:space="preserve">Наиболее распространенной мерой административного наказания за экстремистские правонарушения является административный штраф, размер которого существенно варьируется в зависимости от субъекта, допускающего противоправное поведение, и от степени общественной опасности его деяния.</w:t>
      </w:r>
    </w:p>
    <w:p>
      <w:pPr>
        <w:pStyle w:val="BodyText"/>
      </w:pPr>
      <w:r>
        <w:t xml:space="preserve">Согласно примечанию 2 к статье 282.1 УК РФ под преступлениями экстремистской направленности в УК РФ понимаются преступления, совершенные по мотивам политической, идеологической, расовой, национальной или религиозной ненависти или вражды либо по мотивам ненависти или вражды в отношении какой-либо социальной группы, предусмотренные соответствующими статьями Особенной части УК РФ (например, ст. ст. 280, 280.1, 282, 282.1, 282.2, 282.3 УК РФ, п. «л» ч. 2 ст. 105, п. «е» ч. 2 ст. 111, п. «б» ч. 1 ст. 213 УК РФ), а также иные преступления, совершенные по указанным мотивам.</w:t>
      </w:r>
    </w:p>
    <w:p>
      <w:pPr>
        <w:pStyle w:val="BodyText"/>
      </w:pPr>
      <w:r>
        <w:t xml:space="preserve">Под публичными призывами (статья 280 УК РФ) следует понимать выраженные в любой форме (например, в устной, письменной, с использованием технических средств) обращения к другим лицам с целью побудить их к осуществлению экстремистской деятельности. Публичное распространение информации, в которой обосновывается необходимость совершения противоправных действий в отношении лиц по признаку расы, национальности, религиозной принадлежности и Т.д., либо информации, оправдывающей такую деятельность, квалифицируется по статье 282 УК РФ при наличии иных признаков этого состава преступления. Ответственность по статье 280.1 УК РФ наступает при условии, если публичные призывы к осуществлению действий, направленных на нарушение территориальной целостности Российской Федерации, совершены лицом в течение одного года после привлечения его к административной ответственности за аналогичное деяние по части 1 или 2 статьи 20.3.2 КоАП РФ.</w:t>
      </w:r>
    </w:p>
    <w:bookmarkEnd w:id="36"/>
    <w:bookmarkEnd w:id="37"/>
    <w:bookmarkStart w:id="39" w:name="dpage_10_h"/>
    <w:bookmarkStart w:id="38" w:name="pagecontainer_10"/>
    <w:p>
      <w:pPr>
        <w:pStyle w:val="BodyText"/>
      </w:pPr>
      <w:r>
        <w:t xml:space="preserve">Статья 282.1 УК РФ предусматривает уголовную ответственность за участие в экстремистском сообществе, под которым понимается устойчивая группа лиц, заранее объединившихся для подготовки или совершения одного или нескольких преступлений экстремистской направленности, характеризующаяся наличием в ее составе организатора (руководителя), стабильностью состава, согласованностью действий ее участников в целях реализации общих преступных намерений.</w:t>
      </w:r>
    </w:p>
    <w:p>
      <w:pPr>
        <w:pStyle w:val="BodyText"/>
      </w:pPr>
      <w:r>
        <w:t xml:space="preserve">За участие в деятельности экстремистской организации (часть 2 статьи 282.2 УК РФ) лицо привлекается к уголовной ответственности в случае совершения умышленных действий, непосредственно относящихся к продолжению или возобновлению деятельности организации, признанной в установленном порядке экстремистской, ее деятельность запрещена на территории Российской Федерации.</w:t>
      </w:r>
    </w:p>
    <w:p>
      <w:pPr>
        <w:pStyle w:val="BodyText"/>
      </w:pPr>
      <w:r>
        <w:t xml:space="preserve">В статье 282.3 УК РФ предусмотрена ответственность за действия, состоящие в предоставлении или сборе средств либо оказании финансовых услуг для финансирования организации, подготовки и совершения хотя бы одного из преступлений экстремистской направленности либо для обеспечения деятельности экстремистского сообщества или экстремистской организации.</w:t>
      </w:r>
    </w:p>
    <w:p>
      <w:pPr>
        <w:pStyle w:val="BodyText"/>
      </w:pPr>
      <w:r>
        <w:t xml:space="preserve">Публичные действия, направленные на дискредитацию использования Вооруженных Сил Российской Федерации в целях защиты интересов Российской Федерации и ее граждан, поддержания международного мира и безопасности, в том числе публичные призывы к воспрепятствованию использования Вооруженных Сил Российской Федерации в указанных целях, либо на дискредитацию исполнения государственными органами Российской Федерации своих полномочий за пределами территории Российской Федерации в указанных целях, а равно на дискредитацию оказания добровольческими формированиями, организациями или лицами содействия в выполнении задач, возложенных на Вооруженные Силы Российской Федерации или войска национальной гвардии Российской Федерации, совершенные лицом после его привлечения к административной ответственности за аналогичное деяние в течение одного года, квалифицируются по статье 280.3 УК РФ.</w:t>
      </w:r>
    </w:p>
    <w:p>
      <w:pPr>
        <w:pStyle w:val="BodyText"/>
      </w:pPr>
      <w:r>
        <w:t xml:space="preserve">Санкции статей уголовного закона об ответственности за экстремизм предусматривают возможность назначения наказания в виде лишения свободы: по части 1 статьи 280 УК РФ и части 1 статьи 280.1 УК РФ - на срок до четырех лет, по части 1 статьи 280.3`УК РФ - на срок до 5 лет; по части 1 статьи 282 УКРФ - на срок от двух до пяти лет; по части 1 статьи 282.1 УКРФ и по части 1 статьи 282.2 УКРФ - на срок от шести до десяти лет; по части 1 ст. 282.3 УК РФ - на срок от трех до восьми лет.</w:t>
      </w:r>
    </w:p>
    <w:p>
      <w:pPr>
        <w:pStyle w:val="BodyText"/>
      </w:pPr>
      <w:r>
        <w:br/>
      </w:r>
    </w:p>
    <w:p>
      <w:pPr>
        <w:pStyle w:val="BodyText"/>
      </w:pPr>
      <w:r>
        <w:rPr>
          <w:bCs/>
          <w:b/>
        </w:rPr>
        <w:t xml:space="preserve">12. Ответственность за нецензурную лексику в социальных сетях. Унижение чести и достоинства другого лица, выраженное в неприличной форме, является оскорблением.</w:t>
      </w:r>
    </w:p>
    <w:p>
      <w:pPr>
        <w:pStyle w:val="BodyText"/>
      </w:pPr>
      <w:r>
        <w:t xml:space="preserve">-</w:t>
      </w:r>
    </w:p>
    <w:p>
      <w:pPr>
        <w:pStyle w:val="BodyText"/>
      </w:pPr>
      <w:r>
        <w:t xml:space="preserve">Это может быть как нецензурная брань, таки выражение, которое противоречит общепринятым в обществе нормам. Для наступления административной ответственности оскорбление должно быть направлено на конкретное ЛИЦО.</w:t>
      </w:r>
    </w:p>
    <w:bookmarkEnd w:id="38"/>
    <w:bookmarkEnd w:id="39"/>
    <w:bookmarkStart w:id="41" w:name="dpage_11_h"/>
    <w:bookmarkStart w:id="40" w:name="pagecontainer_11"/>
    <w:p>
      <w:pPr>
        <w:pStyle w:val="BodyText"/>
      </w:pPr>
      <w:r>
        <w:t xml:space="preserve">Федеральным законом от 27.07.2006 № 149-ФЗ «Об информации, информационных технологиях и о защите информации» на владельцев сайтов и (или) страниц сайта в сети «Интернет», и (или) информационных систем, и (или) программ для электронных вычислительных машин, которые используются для обработки и распространения новостной информации, на которых может распространяться реклама, направленная на привлечение внимания потребителей, находящихся на территории Российской Федерации, и доступ к которым в течение суток составляет более одного миллиона пользователей, возложена обязанность самостоятельно выявлять и блокировать запрещенный контент.</w:t>
      </w:r>
    </w:p>
    <w:p>
      <w:pPr>
        <w:pStyle w:val="BodyText"/>
      </w:pPr>
      <w:r>
        <w:t xml:space="preserve">В частности, речь идет о различной противоправной информации, например, об оскорблении человеческого достоинства и общественной нравственности, экстремистских материалах, информации, склоняющей детей к совершению опасных для жизни незаконных действий, и т.п.</w:t>
      </w:r>
    </w:p>
    <w:p>
      <w:pPr>
        <w:pStyle w:val="BodyText"/>
      </w:pPr>
      <w:r>
        <w:t xml:space="preserve">Следует помнить, что использование ненормативной лексики нарушает как моральные, так и этические нормы общества, а также является явным проявлением неуважения к окружающим людям. За подобные нарушения законодательством предусмотрена административная ответственность, а в случае распространения заведомо ложных сведений, порочащих честь и достоинство другого лица или подрывающих его репутацию, — уголовная (статья 128.1 УК РФ). Частью 3 статьи 20.1 КоАП РФ предусмотрена ответственность за действия, связанные с распространением в информационно-телекоммуникационных сетях, в том числе в сети «Интернет», информации, выражающей в неприличной форме, которая оскорбляет человеческое достоинство и общественную нравственность, проявление явного неуважения к обществу, государству, и в подобных случаях виновному грозит штраф до 100 тыс. руб. Также различного рода оскорбления, совершенные путем направления личных сообщений, в том числе голосовых, в мессенджерах или социальных сетях, подлежат квалификации по части 1 статьи 5.61 КоАП РФ.</w:t>
      </w:r>
    </w:p>
    <w:p>
      <w:pPr>
        <w:pStyle w:val="BodyText"/>
      </w:pPr>
      <w:r>
        <w:t xml:space="preserve">Помимо этого, согласно части 2 статьи 5.61 КоАП РФ оскорбление, содержащеесяв публичном выступлении, публично демонстрирующемся произведении или средствах массовой информации либо совершенное публичнос использованием информационно-телекоммуникационных сетей, включая сеть «Интернет», или в отношении нескольких лиц, в том числе индивидуально не определенных, влечет наложение административного штрафа на граждан до 10 тыс. руб., на должностных лиц — до 100 тыс. руб., а на юридических лиц —до 700 тыс. руб.</w:t>
      </w:r>
    </w:p>
    <w:p>
      <w:pPr>
        <w:pStyle w:val="BodyText"/>
      </w:pPr>
      <w:r>
        <w:t xml:space="preserve">Подобная ситуация может возникнуть, например, в случае размещения оскорбления на странице в социальной сети, которая доступна для неопределенного круга лиц, либо же в групповых чатах мессенджеров.</w:t>
      </w:r>
    </w:p>
    <w:p>
      <w:pPr>
        <w:pStyle w:val="BodyText"/>
      </w:pPr>
      <w:r>
        <w:t xml:space="preserve">Следует также отметить, что в соответствии со статьей 150 ГК РФ достоинство личности, честь и доброе имя, неприкосновенность частной жизни относится к нематериальным благам, принадлежащим гражданам от рождения. Это дает основание для обращения в суд с исковым заявлением о защите чести и достоинства и возмещении морального вреда, даже если виновное лицо было привлечено к административной ответственности и выплатило штраф за указанные действия.</w:t>
      </w:r>
    </w:p>
    <w:p>
      <w:pPr>
        <w:pStyle w:val="BodyText"/>
      </w:pPr>
      <w:r>
        <w:br/>
      </w:r>
    </w:p>
    <w:bookmarkEnd w:id="40"/>
    <w:bookmarkEnd w:id="41"/>
    <w:bookmarkStart w:id="43" w:name="dpage_12_h"/>
    <w:bookmarkStart w:id="42" w:name="pagecontainer_12"/>
    <w:bookmarkEnd w:id="42"/>
    <w:bookmarkEnd w:id="43"/>
    <w:p>
      <w:pPr>
        <w:pStyle w:val="BodyText"/>
      </w:pPr>
      <w:r>
        <w:br/>
      </w:r>
    </w:p>
    <w:p>
      <w:pPr>
        <w:pStyle w:val="BodyText"/>
      </w:pPr>
      <w:r>
        <w:t xml:space="preserve">Адрес страницы:</w:t>
      </w:r>
      <w:r>
        <w:t xml:space="preserve"> </w:t>
      </w:r>
      <w:hyperlink r:id="rId44">
        <w:r>
          <w:rPr>
            <w:rStyle w:val="Hyperlink"/>
          </w:rPr>
          <w:t xml:space="preserve">http://ubutovo.mos.ru/events/detail/12572173.html</w:t>
        </w:r>
      </w:hyperlink>
    </w:p>
    <w:p>
      <w:pPr>
        <w:pStyle w:val="BodyText"/>
      </w:pPr>
      <w:hyperlink r:id="rId45">
        <w:r>
          <w:rPr>
            <w:rStyle w:val="Hyperlink"/>
          </w:rPr>
          <w:t xml:space="preserve">Управа района Южное Бутово города Москвы</w:t>
        </w:r>
      </w:hyperlink>
    </w:p>
    <w:bookmarkEnd w:id="4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45" Target="http://ubutovo.mos.ru" TargetMode="External" /><Relationship Type="http://schemas.openxmlformats.org/officeDocument/2006/relationships/hyperlink" Id="rId44" Target="http://ubutovo.mos.ru/events/detail/12572173.html" TargetMode="External" /></Relationships>
</file>

<file path=word/_rels/footnotes.xml.rels><?xml version="1.0" encoding="UTF-8"?><Relationships xmlns="http://schemas.openxmlformats.org/package/2006/relationships"><Relationship Type="http://schemas.openxmlformats.org/officeDocument/2006/relationships/hyperlink" Id="rId45" Target="http://ubutovo.mos.ru" TargetMode="External" /><Relationship Type="http://schemas.openxmlformats.org/officeDocument/2006/relationships/hyperlink" Id="rId44" Target="http://ubutovo.mos.ru/events/detail/12572173.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2025-02-27T23:41:24Z</dcterms:created>
  <dcterms:modified xsi:type="dcterms:W3CDTF">2025-02-27T23:41:24Z</dcterms:modified>
</cp:coreProperties>
</file>

<file path=docProps/custom.xml><?xml version="1.0" encoding="utf-8"?>
<Properties xmlns="http://schemas.openxmlformats.org/officeDocument/2006/custom-properties" xmlns:vt="http://schemas.openxmlformats.org/officeDocument/2006/docPropsVTypes"/>
</file>