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e22083bb88501af1813d1f9a7c5b202aa76bc"/>
    <w:p>
      <w:pPr>
        <w:pStyle w:val="Heading3"/>
      </w:pPr>
      <w:r>
        <w:t xml:space="preserve">В суд направлено уголовное дело об убийстве с особой жестокостью.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Прокуратурой ЮЗАО г. Москвы утверждено обвинительное заключение по уголовному делу по обвинению несовершеннолетнего в совершении преступления, предусмотренного п. «д» ч. 2 ст. 105 УК РФ (убийство, то есть умышленное причинение смерти другому человеку, совершенное с особой жестокостью).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Установлено, что 5 июля 2023 года, обвиняемый, находясь на детской площадке в Чечерском проезде, действуя умышленно, с особой жестокостью, осознавая общественную опасность своих действий, облил ранее знакомого ему 14- летнего мальчика горючей жидкостью (бензином) и поджег, после с места преступления скрылся.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Пострадавший ребенок получил тяжелые ожоги, от которых позднее скончался в больнице.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Уголовное дело направлено в Зюзинский районный суд г. Москвы для рассмотрения по существу. Обвиняемый содержится под стражей.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http://ubutovo.mos.ru/events/detail/12443404.html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43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43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2025-03-13T08:12:52Z</dcterms:created>
  <dcterms:modified xsi:type="dcterms:W3CDTF">2025-03-13T08:12:52Z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