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0a463b3671363d7c5f5c238b99562226306160"/>
    <w:p>
      <w:pPr>
        <w:pStyle w:val="Heading3"/>
      </w:pPr>
      <w:r>
        <w:t xml:space="preserve">Об уголовной ответственности за финансирование экстремизма и терроризма</w:t>
      </w:r>
    </w:p>
    <w:p>
      <w:pPr>
        <w:pStyle w:val="FirstParagraph"/>
      </w:pPr>
      <w:r>
        <w:t xml:space="preserve">11.10.2023</w:t>
      </w:r>
    </w:p>
    <w:p>
      <w:pPr>
        <w:pStyle w:val="BodyText"/>
      </w:pPr>
      <w:r>
        <w:t xml:space="preserve">Уголовный закон Российской Федерации содержит нормы, влекущие уголовную ответственность за содействие террористической и экстремистской деятельности. Формами такого содействия выступают финансирование терроризма и экстремизма.</w:t>
      </w:r>
    </w:p>
    <w:p>
      <w:pPr>
        <w:pStyle w:val="BodyText"/>
      </w:pPr>
      <w:r>
        <w:t xml:space="preserve">Общественная опасность оказания финансовых услуг при финансировании международных террористических организаций, групп либо отдельных лиц - террористов (экстремистов) и экстремистских организаций и сообществ обусловлена тем, что материальная поддержка осуществляется с осознанием того, что она предназначена для обеспечения деятельности организации, подготовки или совершения преступлений террористической и экстремистской направленности, в числе которых террористический акт, организация деятельности экстремистско-террористических, в том числе международных организаций и сообществ, незаконных вооруженных формирований, совершение взрывов, поджогов либо иных действий, которые направлены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нанесение вреда здоровью людей, что в свою очередь влечет подрыв экономической безопасности и (или) обороноспособности Российской Федерации.</w:t>
      </w:r>
    </w:p>
    <w:p>
      <w:pPr>
        <w:pStyle w:val="BodyText"/>
      </w:pPr>
      <w:r>
        <w:t xml:space="preserve">Формы финансирования могут выражаться в предоставлении предметов обмундирования, экипировки, средств связи, систематических отчислений или разовых взносов в общую кассу, приобретения недвижимости или оплаты стоимости ее аренды, а также в предоставлении денежных средств, предназначенных для подкупа должностных лиц.</w:t>
      </w:r>
    </w:p>
    <w:p>
      <w:pPr>
        <w:pStyle w:val="BodyText"/>
      </w:pPr>
      <w:r>
        <w:t xml:space="preserve">За финансирование терроризма предусмотрена ответственность по части 1.1 статьи 205.1 Уголовного кодекса Российской Федерации (далее – УК РФ). Максимальное наказание за совершение данного преступления составляет лишение свободы на срок до 15 лет, с использованием служебного положения - до 20 лет либо пожизненное заключение.</w:t>
      </w:r>
    </w:p>
    <w:p>
      <w:pPr>
        <w:pStyle w:val="BodyText"/>
      </w:pPr>
      <w:r>
        <w:t xml:space="preserve">Финансирование экстремизма влечет ответственность по части 1 статьи 282.3 Уголовного кодекса Российской Федерации. Максимальные санкции данной статьи предусматривают до 8 лет лишения свободы, в случае использования служебного положения - до 10 лет.</w:t>
      </w:r>
    </w:p>
    <w:p>
      <w:pPr>
        <w:pStyle w:val="BodyText"/>
      </w:pPr>
      <w:r>
        <w:t xml:space="preserve">При условии, что лицо впервые совершило такое преступление и своевременно сообщило о содеянном органам власти или иным образом способствовало предотвращению либо пресечению преступления, которое оно финансировало, законодатель допускает освобождение от уголовной ответственности (примечание к статье 282.3 УК РФ).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http://ubutovo.mos.ru/events/detail/11890881.html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8908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8908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2025-02-24T07:49:06Z</dcterms:created>
  <dcterms:modified xsi:type="dcterms:W3CDTF">2025-02-24T07:49:06Z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