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769873e803363cf316191a63d2e856062db092"/>
    <w:p>
      <w:pPr>
        <w:pStyle w:val="Heading3"/>
      </w:pPr>
      <w:r>
        <w:t xml:space="preserve">О вступлении в силу Федерального закона от 14.07.2022 № 303-ФЗ «О внесении изменений в статью 265.10 Кодекса административного судопроизводства Российской Федерации и статьи 13 и 15 Федерального закона «О противодействии экстремистской деятельности».</w:t>
      </w:r>
    </w:p>
    <w:p>
      <w:pPr>
        <w:pStyle w:val="FirstParagraph"/>
      </w:pPr>
      <w:r>
        <w:t xml:space="preserve">19.06.2023</w:t>
      </w:r>
    </w:p>
    <w:p>
      <w:pPr>
        <w:pStyle w:val="BodyText"/>
      </w:pPr>
      <w:r>
        <w:t xml:space="preserve">В соответствии с положениями Федерального закона от 25.07.2022 № 114-ФЗ «О противодействии экстремистской деятельности» экстремистскими материалами являются предназначенные для распространения либо публично демонстрирования документы либо информация на иных носителях, призывающие к осуществлению экстремистской деятельности либо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BodyText"/>
      </w:pPr>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осуществляющей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pPr>
        <w:pStyle w:val="BodyText"/>
      </w:pPr>
      <w:r>
        <w:t xml:space="preserve">Порядок производства по административным делам о признании информационных материалов экстремистскими регламентирован главой 27.2 Кодекса административного судопроизводства Российской Федерации.</w:t>
      </w:r>
    </w:p>
    <w:p>
      <w:pPr>
        <w:pStyle w:val="BodyText"/>
      </w:pPr>
      <w:r>
        <w:t xml:space="preserve">С 15.07.2023 вступает в силу Федеральный закон от 14.07.2022 № 303-ФЗ «О внесении изменений в статью 265.10 Кодекса административного судопроизводства Российской Федерации и статьи 13 и 15 Федерального закона «О противодействии экстремистской деятельности».</w:t>
      </w:r>
    </w:p>
    <w:p>
      <w:pPr>
        <w:pStyle w:val="BodyText"/>
      </w:pPr>
      <w:r>
        <w:t xml:space="preserve">Согласно внесенным изменениям вместе с административным исковым заявлением о признании информационных материалов экстремистскими и предлагаемыми к нему документами прокурор представляет в суд в электронном виде оспариваемые информационные материалы.</w:t>
      </w:r>
    </w:p>
    <w:p>
      <w:pPr>
        <w:pStyle w:val="BodyText"/>
      </w:pPr>
      <w:r>
        <w:t xml:space="preserve">На суд возлагается обязанность в трехдневный срок направлять в федеральный орган государственной регистрации не только копию вступившего в законную силу решения о признании информационных материалов экстремистскими, но и сами материалы, в отношении которых состоялось решение.</w:t>
      </w:r>
    </w:p>
    <w:p>
      <w:pPr>
        <w:pStyle w:val="BodyText"/>
      </w:pPr>
      <w:r>
        <w:t xml:space="preserve">Федеральным законом № 303-ФЗ также установлено, что Министерство юстиции Российской Федерации ведет банк данных экстремистских материалов (далее – банк данных), в который вносятся поступившие из суда копия решения о признании информационных материалов экстремистскими и экстремистские материалы.</w:t>
      </w:r>
    </w:p>
    <w:p>
      <w:pPr>
        <w:pStyle w:val="BodyText"/>
      </w:pPr>
      <w:r>
        <w:t xml:space="preserve">Сведения, содержащиеся в банке данных,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pPr>
        <w:pStyle w:val="BodyText"/>
      </w:pPr>
      <w:r>
        <w:t xml:space="preserve">В соответствии с приказом Генерального прокурора Российской Федерации от 16.03.2016 № 159 «О порядке реализации прокурорами полномочий по направлению в суд заявлений о признании информационных материалов экстремистскими» административные исковые заявления указанной категории направляются в суды прокурорами субъектов Российской Федерации, приравненными к ним военными и иными специализированными прокурорами после предварительного согласования с Генеральной прокуратурой.</w:t>
      </w:r>
    </w:p>
    <w:p>
      <w:pPr>
        <w:pStyle w:val="BodyText"/>
      </w:pPr>
      <w:r>
        <w:t xml:space="preserve">Между тем в соответствии с организационно-распорядительными документами прокуратуры города Москвы межрайонные прокуроры в случае выявления информационного материала, содержащие признаки экстремизма, но не признанного судом экстремистским материалом, обязаны организовывать проведение соответствующего экспертного исследования, а при наличии положительных выводов исследования и распространенности материала, в том числе сети «Интернет», направлять проекты заявления о признании его экстремистскими в прокуратуру города Москвы для последующего согласования с Генеральной прокуратурой Российской Федерации.</w:t>
      </w:r>
    </w:p>
    <w:p>
      <w:pPr>
        <w:pStyle w:val="BodyText"/>
      </w:pPr>
      <w:r>
        <w:t xml:space="preserve">Зюзинская межрайонная прокуратура г. Москвы напоминает: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pPr>
        <w:pStyle w:val="BodyText"/>
      </w:pPr>
      <w:r>
        <w:t xml:space="preserve">За производство и распространение экстремистских материалов предусмотрена административная ответственность статьей 20.29 Кодекса Российской Федерации об административных правонарушениях в виде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BodyText"/>
      </w:pPr>
      <w:r>
        <w:t xml:space="preserve">За публичные призывы к осуществлению экстремисткой деятельности предусмотрена уголовная ответственность в виде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tbl>
      <w:tblPr>
        <w:tblStyle w:val="Table"/>
        <w:tblW w:type="auto" w:w="0"/>
        <w:tblLook w:firstRow="0" w:lastRow="0" w:firstColumn="0" w:lastColumn="0" w:noHBand="0" w:noVBand="0" w:val="0000"/>
      </w:tblPr>
      <w:tblGrid>
        <w:gridCol w:w="2640"/>
        <w:gridCol w:w="2640"/>
        <w:gridCol w:w="2640"/>
      </w:tblGrid>
      <w:tr>
        <w:tc>
          <w:tcPr/>
          <w:p>
            <w:pPr>
              <w:jc w:val="left"/>
            </w:pPr>
            <w:r>
              <w:t xml:space="preserve">Межрайонный прокурор</w:t>
            </w:r>
          </w:p>
        </w:tc>
        <w:tc>
          <w:tcPr/>
          <w:p>
            <w:pPr>
              <w:pStyle w:val="Compact"/>
            </w:pPr>
          </w:p>
        </w:tc>
        <w:tc>
          <w:tcPr/>
          <w:p>
            <w:pPr>
              <w:jc w:val="left"/>
            </w:pPr>
            <w:r>
              <w:t xml:space="preserve">Д.И. Ткачев</w:t>
            </w:r>
          </w:p>
        </w:tc>
      </w:tr>
    </w:tbl>
    <w:p>
      <w:pPr>
        <w:pStyle w:val="BodyText"/>
      </w:pPr>
      <w:r>
        <w:br/>
      </w:r>
    </w:p>
    <w:p>
      <w:pPr>
        <w:pStyle w:val="BodyText"/>
      </w:pPr>
      <w:r>
        <w:t xml:space="preserve">Адрес страницы:</w:t>
      </w:r>
      <w:r>
        <w:t xml:space="preserve"> </w:t>
      </w:r>
      <w:hyperlink r:id="rId20">
        <w:r>
          <w:rPr>
            <w:rStyle w:val="Hyperlink"/>
          </w:rPr>
          <w:t xml:space="preserve">http://ubutovo.mos.ru/events/detail/11658282.html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1658282.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16582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2025-07-21T23:52:22Z</dcterms:created>
  <dcterms:modified xsi:type="dcterms:W3CDTF">2025-07-21T23:52:22Z</dcterms:modified>
</cp:coreProperties>
</file>

<file path=docProps/custom.xml><?xml version="1.0" encoding="utf-8"?>
<Properties xmlns="http://schemas.openxmlformats.org/officeDocument/2006/custom-properties" xmlns:vt="http://schemas.openxmlformats.org/officeDocument/2006/docPropsVTypes"/>
</file>